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37" w:rsidRDefault="00297337" w:rsidP="00297337">
      <w:pPr>
        <w:jc w:val="center"/>
        <w:rPr>
          <w:b/>
          <w:u w:val="single"/>
        </w:rPr>
      </w:pPr>
      <w:proofErr w:type="spellStart"/>
      <w:r w:rsidRPr="00297337">
        <w:rPr>
          <w:b/>
          <w:u w:val="single"/>
        </w:rPr>
        <w:t>C</w:t>
      </w:r>
      <w:r w:rsidR="00D722A5">
        <w:rPr>
          <w:b/>
          <w:u w:val="single"/>
        </w:rPr>
        <w:t>ovid</w:t>
      </w:r>
      <w:proofErr w:type="spellEnd"/>
      <w:r w:rsidRPr="00297337">
        <w:rPr>
          <w:b/>
          <w:u w:val="single"/>
        </w:rPr>
        <w:t xml:space="preserve"> </w:t>
      </w:r>
      <w:r w:rsidR="00D722A5">
        <w:rPr>
          <w:b/>
          <w:u w:val="single"/>
        </w:rPr>
        <w:t>Premium</w:t>
      </w:r>
      <w:r w:rsidRPr="00297337">
        <w:rPr>
          <w:b/>
          <w:u w:val="single"/>
        </w:rPr>
        <w:t xml:space="preserve"> Funding</w:t>
      </w:r>
      <w:r w:rsidR="00167C96">
        <w:rPr>
          <w:b/>
          <w:u w:val="single"/>
        </w:rPr>
        <w:t xml:space="preserve"> 2020-21</w:t>
      </w:r>
    </w:p>
    <w:p w:rsidR="00994546" w:rsidRPr="00994546" w:rsidRDefault="00D722A5" w:rsidP="00994546">
      <w:r>
        <w:t xml:space="preserve">Reach Academy have been allocated £10,080 through the </w:t>
      </w:r>
      <w:proofErr w:type="spellStart"/>
      <w:r>
        <w:t>Covid</w:t>
      </w:r>
      <w:proofErr w:type="spellEnd"/>
      <w:r>
        <w:t xml:space="preserve"> Premium Funding which will be spent as follows:</w:t>
      </w:r>
    </w:p>
    <w:tbl>
      <w:tblPr>
        <w:tblW w:w="9406" w:type="dxa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2227"/>
        <w:gridCol w:w="1629"/>
        <w:gridCol w:w="3464"/>
      </w:tblGrid>
      <w:tr w:rsidR="00994546" w:rsidRPr="00F73CBD" w:rsidTr="00994546">
        <w:trPr>
          <w:trHeight w:val="126"/>
        </w:trPr>
        <w:tc>
          <w:tcPr>
            <w:tcW w:w="2086" w:type="dxa"/>
            <w:shd w:val="clear" w:color="auto" w:fill="00B0F0"/>
          </w:tcPr>
          <w:p w:rsidR="00994546" w:rsidRPr="004E4E99" w:rsidRDefault="00994546" w:rsidP="00297337">
            <w:pPr>
              <w:pStyle w:val="TableParagraph"/>
              <w:ind w:left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Focus area</w:t>
            </w:r>
          </w:p>
        </w:tc>
        <w:tc>
          <w:tcPr>
            <w:tcW w:w="2227" w:type="dxa"/>
            <w:shd w:val="clear" w:color="auto" w:fill="00B0F0"/>
          </w:tcPr>
          <w:p w:rsidR="00994546" w:rsidRPr="004E4E99" w:rsidRDefault="00994546" w:rsidP="00297337">
            <w:pPr>
              <w:pStyle w:val="TableParagraph"/>
              <w:ind w:left="0"/>
              <w:jc w:val="left"/>
              <w:rPr>
                <w:b/>
                <w:color w:val="FFFFFF" w:themeColor="background1"/>
              </w:rPr>
            </w:pPr>
            <w:r w:rsidRPr="004E4E99">
              <w:rPr>
                <w:b/>
                <w:color w:val="FFFFFF" w:themeColor="background1"/>
              </w:rPr>
              <w:t>How the money will be allocated</w:t>
            </w:r>
          </w:p>
        </w:tc>
        <w:tc>
          <w:tcPr>
            <w:tcW w:w="1629" w:type="dxa"/>
            <w:shd w:val="clear" w:color="auto" w:fill="00B0F0"/>
          </w:tcPr>
          <w:p w:rsidR="00994546" w:rsidRPr="004E4E99" w:rsidRDefault="00994546" w:rsidP="00FB3E69">
            <w:pPr>
              <w:pStyle w:val="TableParagraph"/>
              <w:ind w:left="106"/>
              <w:jc w:val="left"/>
              <w:rPr>
                <w:b/>
                <w:color w:val="FFFFFF" w:themeColor="background1"/>
              </w:rPr>
            </w:pPr>
            <w:r w:rsidRPr="004E4E99">
              <w:rPr>
                <w:b/>
                <w:color w:val="FFFFFF" w:themeColor="background1"/>
              </w:rPr>
              <w:t>Cost</w:t>
            </w:r>
          </w:p>
        </w:tc>
        <w:tc>
          <w:tcPr>
            <w:tcW w:w="3464" w:type="dxa"/>
            <w:shd w:val="clear" w:color="auto" w:fill="00B0F0"/>
          </w:tcPr>
          <w:p w:rsidR="00994546" w:rsidRPr="004E4E99" w:rsidRDefault="00994546" w:rsidP="00FB3E69">
            <w:pPr>
              <w:pStyle w:val="TableParagraph"/>
              <w:ind w:left="105"/>
              <w:jc w:val="left"/>
              <w:rPr>
                <w:b/>
                <w:color w:val="FFFFFF" w:themeColor="background1"/>
              </w:rPr>
            </w:pPr>
            <w:r w:rsidRPr="004E4E99">
              <w:rPr>
                <w:b/>
                <w:color w:val="FFFFFF" w:themeColor="background1"/>
              </w:rPr>
              <w:t>Intended impact</w:t>
            </w:r>
          </w:p>
        </w:tc>
      </w:tr>
      <w:tr w:rsidR="00994546" w:rsidRPr="00F73CBD" w:rsidTr="00994546">
        <w:trPr>
          <w:trHeight w:val="506"/>
        </w:trPr>
        <w:tc>
          <w:tcPr>
            <w:tcW w:w="2086" w:type="dxa"/>
          </w:tcPr>
          <w:p w:rsidR="00994546" w:rsidRPr="00F73CBD" w:rsidRDefault="00994546" w:rsidP="00FB3E69">
            <w:pPr>
              <w:pStyle w:val="BodyText"/>
            </w:pPr>
            <w:r>
              <w:t xml:space="preserve">Re-engagement </w:t>
            </w:r>
            <w:proofErr w:type="gramStart"/>
            <w:r>
              <w:t>of  pupils</w:t>
            </w:r>
            <w:proofErr w:type="gramEnd"/>
            <w:r w:rsidR="00D42227">
              <w:t xml:space="preserve"> with significant SEMH needs</w:t>
            </w:r>
            <w:r>
              <w:t xml:space="preserve"> following lockdown </w:t>
            </w:r>
          </w:p>
        </w:tc>
        <w:tc>
          <w:tcPr>
            <w:tcW w:w="2227" w:type="dxa"/>
          </w:tcPr>
          <w:p w:rsidR="00994546" w:rsidRDefault="00D722A5" w:rsidP="00FB3E69">
            <w:pPr>
              <w:pStyle w:val="BodyText"/>
            </w:pPr>
            <w:r>
              <w:t xml:space="preserve">2 x </w:t>
            </w:r>
            <w:r w:rsidR="00994546">
              <w:t>Forest School sessions</w:t>
            </w:r>
            <w:r>
              <w:t xml:space="preserve"> per </w:t>
            </w:r>
            <w:proofErr w:type="gramStart"/>
            <w:r>
              <w:t xml:space="preserve">week </w:t>
            </w:r>
            <w:r w:rsidR="00994546">
              <w:t xml:space="preserve"> in</w:t>
            </w:r>
            <w:proofErr w:type="gramEnd"/>
            <w:r w:rsidR="00994546">
              <w:t xml:space="preserve"> the Autumn and Spring Terms</w:t>
            </w:r>
          </w:p>
          <w:p w:rsidR="00994546" w:rsidRDefault="00994546" w:rsidP="00FB3E69">
            <w:pPr>
              <w:pStyle w:val="BodyText"/>
            </w:pPr>
          </w:p>
          <w:p w:rsidR="00994546" w:rsidRDefault="00994546" w:rsidP="00FB3E69">
            <w:pPr>
              <w:pStyle w:val="BodyText"/>
            </w:pPr>
          </w:p>
          <w:p w:rsidR="00994546" w:rsidRDefault="00994546" w:rsidP="00FB3E69">
            <w:pPr>
              <w:pStyle w:val="BodyText"/>
            </w:pPr>
          </w:p>
          <w:p w:rsidR="00994546" w:rsidRDefault="00994546" w:rsidP="00FB3E69">
            <w:pPr>
              <w:pStyle w:val="BodyText"/>
            </w:pPr>
          </w:p>
          <w:p w:rsidR="00994546" w:rsidRDefault="00994546" w:rsidP="00FB3E69">
            <w:pPr>
              <w:pStyle w:val="BodyText"/>
            </w:pPr>
          </w:p>
          <w:p w:rsidR="00994546" w:rsidRDefault="00994546" w:rsidP="00FB3E69">
            <w:pPr>
              <w:pStyle w:val="BodyText"/>
            </w:pPr>
          </w:p>
          <w:p w:rsidR="00994546" w:rsidRPr="00F73CBD" w:rsidRDefault="00994546" w:rsidP="00FB3E69">
            <w:pPr>
              <w:pStyle w:val="BodyText"/>
            </w:pPr>
            <w:r>
              <w:t xml:space="preserve">Geek Rooms (computer </w:t>
            </w:r>
            <w:proofErr w:type="spellStart"/>
            <w:r>
              <w:t>programme</w:t>
            </w:r>
            <w:proofErr w:type="spellEnd"/>
            <w:r>
              <w:t>/</w:t>
            </w:r>
            <w:r w:rsidR="00D42227">
              <w:t xml:space="preserve"> </w:t>
            </w:r>
            <w:r>
              <w:t>maintenance sessions) in the Autumn and Spring Terms</w:t>
            </w:r>
          </w:p>
        </w:tc>
        <w:tc>
          <w:tcPr>
            <w:tcW w:w="1629" w:type="dxa"/>
          </w:tcPr>
          <w:p w:rsidR="00994546" w:rsidRDefault="00994546" w:rsidP="00FB3E69">
            <w:pPr>
              <w:pStyle w:val="BodyText"/>
              <w:jc w:val="center"/>
            </w:pPr>
            <w:r w:rsidRPr="00297337">
              <w:t>£</w:t>
            </w:r>
            <w:r>
              <w:t xml:space="preserve">100 per session </w:t>
            </w:r>
          </w:p>
          <w:p w:rsidR="00994546" w:rsidRDefault="00994546" w:rsidP="00FB3E69">
            <w:pPr>
              <w:pStyle w:val="BodyText"/>
              <w:jc w:val="center"/>
            </w:pPr>
          </w:p>
          <w:p w:rsidR="00994546" w:rsidRDefault="00994546" w:rsidP="00FB3E69">
            <w:pPr>
              <w:pStyle w:val="BodyText"/>
              <w:jc w:val="center"/>
            </w:pPr>
            <w:r>
              <w:t xml:space="preserve">Estimated total </w:t>
            </w:r>
            <w:r w:rsidRPr="00D722A5">
              <w:rPr>
                <w:b/>
              </w:rPr>
              <w:t>£</w:t>
            </w:r>
            <w:r w:rsidR="00D722A5" w:rsidRPr="00D722A5">
              <w:rPr>
                <w:b/>
              </w:rPr>
              <w:t>4500</w:t>
            </w:r>
          </w:p>
          <w:p w:rsidR="00D722A5" w:rsidRDefault="00D722A5" w:rsidP="00FB3E69">
            <w:pPr>
              <w:pStyle w:val="BodyText"/>
              <w:jc w:val="center"/>
            </w:pPr>
          </w:p>
          <w:p w:rsidR="00994546" w:rsidRDefault="00994546" w:rsidP="00FB3E69">
            <w:pPr>
              <w:pStyle w:val="BodyText"/>
              <w:jc w:val="center"/>
            </w:pPr>
          </w:p>
          <w:p w:rsidR="00994546" w:rsidRDefault="00994546" w:rsidP="00FB3E69">
            <w:pPr>
              <w:pStyle w:val="BodyText"/>
              <w:jc w:val="center"/>
            </w:pPr>
          </w:p>
          <w:p w:rsidR="00994546" w:rsidRDefault="00994546" w:rsidP="00FB3E69">
            <w:pPr>
              <w:pStyle w:val="BodyText"/>
              <w:jc w:val="center"/>
            </w:pPr>
          </w:p>
          <w:p w:rsidR="00994546" w:rsidRDefault="00994546" w:rsidP="00FB3E69">
            <w:pPr>
              <w:pStyle w:val="BodyText"/>
              <w:jc w:val="center"/>
            </w:pPr>
            <w:r>
              <w:t>£20 per pupil per session.</w:t>
            </w:r>
          </w:p>
          <w:p w:rsidR="00994546" w:rsidRDefault="00994546" w:rsidP="00FB3E69">
            <w:pPr>
              <w:pStyle w:val="BodyText"/>
              <w:jc w:val="center"/>
            </w:pPr>
          </w:p>
          <w:p w:rsidR="00994546" w:rsidRDefault="00994546" w:rsidP="00A975CF">
            <w:pPr>
              <w:pStyle w:val="BodyText"/>
              <w:jc w:val="center"/>
            </w:pPr>
            <w:r>
              <w:t xml:space="preserve">Estimated total </w:t>
            </w:r>
            <w:r w:rsidRPr="00D722A5">
              <w:rPr>
                <w:b/>
              </w:rPr>
              <w:t xml:space="preserve">£ </w:t>
            </w:r>
            <w:r w:rsidR="00D722A5" w:rsidRPr="00D722A5">
              <w:rPr>
                <w:b/>
              </w:rPr>
              <w:t>4000</w:t>
            </w:r>
          </w:p>
          <w:p w:rsidR="00994546" w:rsidRDefault="00994546" w:rsidP="00FB3E69">
            <w:pPr>
              <w:pStyle w:val="BodyText"/>
              <w:jc w:val="center"/>
            </w:pPr>
          </w:p>
          <w:p w:rsidR="00994546" w:rsidRDefault="00994546" w:rsidP="00FB3E69">
            <w:pPr>
              <w:pStyle w:val="BodyText"/>
              <w:jc w:val="center"/>
            </w:pPr>
          </w:p>
          <w:p w:rsidR="00994546" w:rsidRPr="00297337" w:rsidRDefault="00994546" w:rsidP="00244617">
            <w:pPr>
              <w:pStyle w:val="BodyText"/>
            </w:pPr>
          </w:p>
        </w:tc>
        <w:tc>
          <w:tcPr>
            <w:tcW w:w="3464" w:type="dxa"/>
          </w:tcPr>
          <w:p w:rsidR="00994546" w:rsidRDefault="00994546" w:rsidP="00777899">
            <w:pPr>
              <w:pStyle w:val="BodyText"/>
            </w:pPr>
            <w:r>
              <w:t>Pupils</w:t>
            </w:r>
            <w:r w:rsidR="00244617">
              <w:t xml:space="preserve"> who are struggling to engage with </w:t>
            </w:r>
            <w:r w:rsidR="00FB6449">
              <w:t xml:space="preserve">learning and the school environment </w:t>
            </w:r>
            <w:r w:rsidR="00D722A5">
              <w:t xml:space="preserve">will be </w:t>
            </w:r>
            <w:r>
              <w:t>provided with the opportunity to engage with other peers and staff in an outdoor/alternative setting</w:t>
            </w:r>
            <w:r w:rsidR="00D42227">
              <w:t xml:space="preserve"> where they can </w:t>
            </w:r>
            <w:r>
              <w:t xml:space="preserve">take part in a variety of practical hands-on learning experiences and </w:t>
            </w:r>
            <w:r w:rsidR="00D42227">
              <w:t xml:space="preserve">have their SEMH needs supported through 1:1 and whole group support. </w:t>
            </w:r>
          </w:p>
          <w:p w:rsidR="00994546" w:rsidRDefault="00994546" w:rsidP="00777899">
            <w:pPr>
              <w:pStyle w:val="BodyText"/>
            </w:pPr>
          </w:p>
          <w:p w:rsidR="00994546" w:rsidRPr="00F73CBD" w:rsidRDefault="00994546" w:rsidP="00FB3E69">
            <w:pPr>
              <w:pStyle w:val="BodyText"/>
            </w:pPr>
          </w:p>
        </w:tc>
      </w:tr>
      <w:tr w:rsidR="00994546" w:rsidRPr="00F73CBD" w:rsidTr="00994546">
        <w:trPr>
          <w:trHeight w:val="885"/>
        </w:trPr>
        <w:tc>
          <w:tcPr>
            <w:tcW w:w="2086" w:type="dxa"/>
          </w:tcPr>
          <w:p w:rsidR="00994546" w:rsidRPr="00F73CBD" w:rsidRDefault="00994546" w:rsidP="00FB3E69">
            <w:pPr>
              <w:pStyle w:val="BodyText"/>
            </w:pPr>
            <w:r>
              <w:t>Development of speaking and listening skills</w:t>
            </w:r>
          </w:p>
        </w:tc>
        <w:tc>
          <w:tcPr>
            <w:tcW w:w="2227" w:type="dxa"/>
          </w:tcPr>
          <w:p w:rsidR="00994546" w:rsidRPr="00F73CBD" w:rsidRDefault="00994546" w:rsidP="00FB3E69">
            <w:pPr>
              <w:pStyle w:val="BodyText"/>
            </w:pPr>
            <w:r>
              <w:t>Purchase of the Voice 21 project package</w:t>
            </w:r>
          </w:p>
        </w:tc>
        <w:tc>
          <w:tcPr>
            <w:tcW w:w="1629" w:type="dxa"/>
          </w:tcPr>
          <w:p w:rsidR="00994546" w:rsidRPr="00F73CBD" w:rsidRDefault="00994546" w:rsidP="00FB3E6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£1</w:t>
            </w:r>
            <w:r w:rsidR="00D722A5">
              <w:rPr>
                <w:b/>
              </w:rPr>
              <w:t>000</w:t>
            </w:r>
          </w:p>
        </w:tc>
        <w:tc>
          <w:tcPr>
            <w:tcW w:w="3464" w:type="dxa"/>
          </w:tcPr>
          <w:p w:rsidR="00994546" w:rsidRPr="00F73CBD" w:rsidRDefault="00994546" w:rsidP="00FB3E69">
            <w:pPr>
              <w:pStyle w:val="BodyText"/>
            </w:pPr>
            <w:r>
              <w:t xml:space="preserve">Whole school training and involvement in a </w:t>
            </w:r>
            <w:proofErr w:type="spellStart"/>
            <w:r>
              <w:t>year long</w:t>
            </w:r>
            <w:proofErr w:type="spellEnd"/>
            <w:r>
              <w:t xml:space="preserve"> project to develop the </w:t>
            </w:r>
            <w:proofErr w:type="spellStart"/>
            <w:r>
              <w:t>oracy</w:t>
            </w:r>
            <w:proofErr w:type="spellEnd"/>
            <w:r>
              <w:t xml:space="preserve"> of pupils. Staff will be involved in regular training to develop their knowledge and skills in the teaching of </w:t>
            </w:r>
            <w:proofErr w:type="spellStart"/>
            <w:r>
              <w:t>oracy</w:t>
            </w:r>
            <w:proofErr w:type="spellEnd"/>
            <w:r>
              <w:t xml:space="preserve"> and use assessment tools to benchmark and track pupil progress. </w:t>
            </w:r>
          </w:p>
        </w:tc>
      </w:tr>
      <w:tr w:rsidR="00994546" w:rsidRPr="00F73CBD" w:rsidTr="00994546">
        <w:trPr>
          <w:trHeight w:val="632"/>
        </w:trPr>
        <w:tc>
          <w:tcPr>
            <w:tcW w:w="2086" w:type="dxa"/>
          </w:tcPr>
          <w:p w:rsidR="00994546" w:rsidRPr="00F73CBD" w:rsidRDefault="00994546" w:rsidP="00FB3E69">
            <w:pPr>
              <w:pStyle w:val="BodyText"/>
            </w:pPr>
            <w:r>
              <w:t>Reading recovery</w:t>
            </w:r>
          </w:p>
        </w:tc>
        <w:tc>
          <w:tcPr>
            <w:tcW w:w="2227" w:type="dxa"/>
          </w:tcPr>
          <w:p w:rsidR="00994546" w:rsidRPr="00F73CBD" w:rsidRDefault="00994546" w:rsidP="00F64F94">
            <w:pPr>
              <w:pStyle w:val="BodyText"/>
            </w:pPr>
            <w:r>
              <w:t xml:space="preserve">Purchase of a reading </w:t>
            </w:r>
            <w:proofErr w:type="spellStart"/>
            <w:r>
              <w:t>programme</w:t>
            </w:r>
            <w:proofErr w:type="spellEnd"/>
            <w:r>
              <w:t xml:space="preserve"> and related resources </w:t>
            </w:r>
          </w:p>
        </w:tc>
        <w:tc>
          <w:tcPr>
            <w:tcW w:w="1629" w:type="dxa"/>
          </w:tcPr>
          <w:p w:rsidR="00994546" w:rsidRPr="00F73CBD" w:rsidRDefault="00994546" w:rsidP="00FB3E6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£900</w:t>
            </w:r>
          </w:p>
        </w:tc>
        <w:tc>
          <w:tcPr>
            <w:tcW w:w="3464" w:type="dxa"/>
          </w:tcPr>
          <w:p w:rsidR="00994546" w:rsidRPr="00F73CBD" w:rsidRDefault="00994546" w:rsidP="00FB3E69">
            <w:pPr>
              <w:pStyle w:val="BodyText"/>
            </w:pPr>
            <w:r>
              <w:t xml:space="preserve">Use of the </w:t>
            </w:r>
            <w:proofErr w:type="spellStart"/>
            <w:r>
              <w:t>programmes</w:t>
            </w:r>
            <w:proofErr w:type="spellEnd"/>
            <w:r>
              <w:t xml:space="preserve"> to support the re-engagement and rapid progress in reading. </w:t>
            </w:r>
            <w:proofErr w:type="spellStart"/>
            <w:r>
              <w:t>Programmes</w:t>
            </w:r>
            <w:proofErr w:type="spellEnd"/>
            <w:r>
              <w:t xml:space="preserve"> can additional be used for remote learning and homework if needed. </w:t>
            </w:r>
          </w:p>
        </w:tc>
      </w:tr>
      <w:tr w:rsidR="00994546" w:rsidRPr="00F73CBD" w:rsidTr="00994546">
        <w:trPr>
          <w:trHeight w:val="506"/>
        </w:trPr>
        <w:tc>
          <w:tcPr>
            <w:tcW w:w="2086" w:type="dxa"/>
          </w:tcPr>
          <w:p w:rsidR="00994546" w:rsidRPr="00F73CBD" w:rsidRDefault="00994546" w:rsidP="00FB3E69">
            <w:pPr>
              <w:pStyle w:val="BodyText"/>
            </w:pPr>
            <w:r>
              <w:t xml:space="preserve">Virtual learning </w:t>
            </w:r>
            <w:proofErr w:type="spellStart"/>
            <w:r>
              <w:t>programmes</w:t>
            </w:r>
            <w:proofErr w:type="spellEnd"/>
            <w:r>
              <w:t xml:space="preserve"> </w:t>
            </w:r>
          </w:p>
        </w:tc>
        <w:tc>
          <w:tcPr>
            <w:tcW w:w="2227" w:type="dxa"/>
          </w:tcPr>
          <w:p w:rsidR="00994546" w:rsidRPr="00F73CBD" w:rsidRDefault="00994546" w:rsidP="00FB3E69">
            <w:pPr>
              <w:pStyle w:val="BodyText"/>
            </w:pPr>
            <w:r>
              <w:t xml:space="preserve">Purchase and staff training of Hegarty </w:t>
            </w:r>
            <w:proofErr w:type="spellStart"/>
            <w:r>
              <w:t>maths</w:t>
            </w:r>
            <w:proofErr w:type="spellEnd"/>
            <w:r>
              <w:t xml:space="preserve"> and seesaw</w:t>
            </w:r>
          </w:p>
        </w:tc>
        <w:tc>
          <w:tcPr>
            <w:tcW w:w="1629" w:type="dxa"/>
          </w:tcPr>
          <w:p w:rsidR="00994546" w:rsidRPr="00F73CBD" w:rsidRDefault="00994546" w:rsidP="00FB3E6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£700</w:t>
            </w:r>
          </w:p>
        </w:tc>
        <w:tc>
          <w:tcPr>
            <w:tcW w:w="3464" w:type="dxa"/>
          </w:tcPr>
          <w:p w:rsidR="00994546" w:rsidRDefault="00994546" w:rsidP="00FB3E69">
            <w:pPr>
              <w:pStyle w:val="BodyText"/>
            </w:pPr>
            <w:r>
              <w:t xml:space="preserve">Seesaw is being developed as a resource in school to capture pupils learning and allow for verbal feedback. It can also be used for pupils to access homework and remote learning where needed and as a communication tool between pupils, parents and staff as needed. </w:t>
            </w:r>
          </w:p>
          <w:p w:rsidR="00994546" w:rsidRDefault="00994546" w:rsidP="00FB3E69">
            <w:pPr>
              <w:pStyle w:val="BodyText"/>
            </w:pPr>
            <w:proofErr w:type="spellStart"/>
            <w:r>
              <w:t>Heagarty</w:t>
            </w:r>
            <w:proofErr w:type="spellEnd"/>
            <w:r>
              <w:t xml:space="preserve"> </w:t>
            </w:r>
            <w:proofErr w:type="spellStart"/>
            <w:r>
              <w:t>maths</w:t>
            </w:r>
            <w:proofErr w:type="spellEnd"/>
            <w:r>
              <w:t xml:space="preserve"> is used as a resource for remote learning – tasks can be set for pupils to complete independently alongside teacher led sessions. </w:t>
            </w:r>
          </w:p>
          <w:p w:rsidR="00994546" w:rsidRPr="00F73CBD" w:rsidRDefault="00994546" w:rsidP="00FB3E69">
            <w:pPr>
              <w:pStyle w:val="BodyText"/>
            </w:pPr>
          </w:p>
        </w:tc>
      </w:tr>
    </w:tbl>
    <w:p w:rsidR="00297337" w:rsidRDefault="00297337">
      <w:bookmarkStart w:id="0" w:name="_GoBack"/>
      <w:bookmarkEnd w:id="0"/>
    </w:p>
    <w:sectPr w:rsidR="00297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37"/>
    <w:rsid w:val="00167C96"/>
    <w:rsid w:val="001B1D14"/>
    <w:rsid w:val="00244617"/>
    <w:rsid w:val="00297337"/>
    <w:rsid w:val="003572F4"/>
    <w:rsid w:val="00515248"/>
    <w:rsid w:val="00777899"/>
    <w:rsid w:val="00994546"/>
    <w:rsid w:val="00A1372A"/>
    <w:rsid w:val="00A975CF"/>
    <w:rsid w:val="00D42227"/>
    <w:rsid w:val="00D722A5"/>
    <w:rsid w:val="00E16BDA"/>
    <w:rsid w:val="00EE5337"/>
    <w:rsid w:val="00F64F94"/>
    <w:rsid w:val="00F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037E"/>
  <w15:chartTrackingRefBased/>
  <w15:docId w15:val="{42C2F339-9184-4E80-851C-0BCCD712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73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7337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97337"/>
    <w:pPr>
      <w:widowControl w:val="0"/>
      <w:autoSpaceDE w:val="0"/>
      <w:autoSpaceDN w:val="0"/>
      <w:spacing w:after="0" w:line="234" w:lineRule="exact"/>
      <w:ind w:left="701"/>
      <w:jc w:val="center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Lord</dc:creator>
  <cp:keywords/>
  <dc:description/>
  <cp:lastModifiedBy>Hannah Lord</cp:lastModifiedBy>
  <cp:revision>5</cp:revision>
  <dcterms:created xsi:type="dcterms:W3CDTF">2020-09-30T12:59:00Z</dcterms:created>
  <dcterms:modified xsi:type="dcterms:W3CDTF">2020-12-07T11:59:00Z</dcterms:modified>
</cp:coreProperties>
</file>